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Condolence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Mark Williamson,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Head of Marketing Department,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ABC Legal Solutions Inc,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New York-11701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June 08, 2011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Charles Lewis,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8523, Albertson,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New York-11701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 Charles,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are just shocked since we heard the news of sudden death of your father Late Richard Lewis. Late Lewis has been one of the prime clients of our company. We would like to express our deep condolence on his death. We wish you come out such crisis soon.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There are many formalities and documentations that you need to complete after the death of your father so that you can be proved the real successor of his legacy. We have been in touch with your family for last ten years and well aware of different properties.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So it will be right to choose us for completing such formalities and paper work. We hope that you will give due consideration to our appeal even in your hard time.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would appreciate your prompt reply.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Thanking You,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Sincerely,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Helvetica Neue" w:cs="Helvetica Neue" w:eastAsia="Helvetica Neue" w:hAnsi="Helvetica Neue"/>
          <w:b w:val="0"/>
          <w:i w:val="0"/>
          <w:smallCaps w:val="0"/>
          <w:strike w:val="0"/>
          <w:color w:val="333333"/>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Mark Williamson</w:t>
      </w:r>
    </w:p>
    <w:p w:rsidR="00000000" w:rsidDel="00000000" w:rsidP="00000000" w:rsidRDefault="00000000" w:rsidRPr="00000000" w14:paraId="00000013">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