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-1054099</wp:posOffset>
                </wp:positionH>
                <wp:positionV relativeFrom="paragraph">
                  <wp:posOffset>-1130299</wp:posOffset>
                </wp:positionV>
                <wp:extent cx="7725103" cy="8220342"/>
                <wp:effectExtent b="0" l="0" r="0" t="0"/>
                <wp:wrapNone/>
                <wp:docPr id="3" name=""/>
                <a:graphic>
                  <a:graphicData uri="http://schemas.microsoft.com/office/word/2010/wordprocessingGroup">
                    <wpg:wgp>
                      <wpg:cNvGrpSpPr/>
                      <wpg:grpSpPr>
                        <a:xfrm>
                          <a:off x="1483449" y="0"/>
                          <a:ext cx="7725103" cy="8220342"/>
                          <a:chOff x="1483449" y="0"/>
                          <a:chExt cx="7725103" cy="7560000"/>
                        </a:xfrm>
                      </wpg:grpSpPr>
                      <wpg:grpSp>
                        <wpg:cNvGrpSpPr/>
                        <wpg:grpSpPr>
                          <a:xfrm>
                            <a:off x="1483449" y="0"/>
                            <a:ext cx="7725103" cy="7560000"/>
                            <a:chOff x="0" y="0"/>
                            <a:chExt cx="7725103" cy="8220342"/>
                          </a:xfrm>
                        </wpg:grpSpPr>
                        <wps:wsp>
                          <wps:cNvSpPr/>
                          <wps:cNvPr id="5" name="Shape 5"/>
                          <wps:spPr>
                            <a:xfrm>
                              <a:off x="0" y="0"/>
                              <a:ext cx="7725100" cy="8220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7725103" cy="4745420"/>
                            </a:xfrm>
                            <a:prstGeom prst="rect">
                              <a:avLst/>
                            </a:prstGeom>
                            <a:solidFill>
                              <a:srgbClr val="30859C"/>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708338" y="120307"/>
                              <a:ext cx="4414345" cy="2983840"/>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10653" y="6809873"/>
                              <a:ext cx="5848350" cy="8324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70"/>
                                    <w:vertAlign w:val="baseline"/>
                                  </w:rPr>
                                  <w:t xml:space="preserve">UNIVERSITY STRATEGIC PLAN</w:t>
                                </w:r>
                              </w:p>
                            </w:txbxContent>
                          </wps:txbx>
                          <wps:bodyPr anchorCtr="0" anchor="t" bIns="45700" lIns="91425" spcFirstLastPara="1" rIns="91425" wrap="square" tIns="45700">
                            <a:noAutofit/>
                          </wps:bodyPr>
                        </wps:wsp>
                        <wps:wsp>
                          <wps:cNvSpPr/>
                          <wps:cNvPr id="9" name="Shape 9"/>
                          <wps:spPr>
                            <a:xfrm>
                              <a:off x="2598821" y="7676147"/>
                              <a:ext cx="2637790" cy="5441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81818"/>
                                    <w:sz w:val="36"/>
                                    <w:vertAlign w:val="baseline"/>
                                  </w:rPr>
                                  <w:t xml:space="preserve">[January 31, 2019]</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-1054099</wp:posOffset>
                </wp:positionH>
                <wp:positionV relativeFrom="paragraph">
                  <wp:posOffset>-1130299</wp:posOffset>
                </wp:positionV>
                <wp:extent cx="7725103" cy="8220342"/>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25103" cy="8220342"/>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color w:val="111111"/>
          <w:sz w:val="26"/>
          <w:szCs w:val="26"/>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color w:val="111111"/>
          <w:sz w:val="26"/>
          <w:szCs w:val="26"/>
        </w:rPr>
      </w:pPr>
      <w:r w:rsidDel="00000000" w:rsidR="00000000" w:rsidRPr="00000000">
        <w:rPr>
          <w:rFonts w:ascii="Calibri" w:cs="Calibri" w:eastAsia="Calibri" w:hAnsi="Calibri"/>
          <w:b w:val="1"/>
          <w:color w:val="111111"/>
          <w:sz w:val="26"/>
          <w:szCs w:val="26"/>
          <w:rtl w:val="0"/>
        </w:rPr>
        <w:t xml:space="preserve">Table of Contents</w:t>
        <w:br w:type="textWrapping"/>
      </w:r>
      <w:r w:rsidDel="00000000" w:rsidR="00000000" w:rsidRPr="00000000">
        <w:rPr>
          <w:rtl w:val="0"/>
        </w:rPr>
      </w:r>
    </w:p>
    <w:p w:rsidR="00000000" w:rsidDel="00000000" w:rsidP="00000000" w:rsidRDefault="00000000" w:rsidRPr="00000000" w14:paraId="0000002F">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Executive Summary</w:t>
        <w:br w:type="textWrapping"/>
        <w:t xml:space="preserve">Company Overview</w:t>
        <w:br w:type="textWrapping"/>
        <w:t xml:space="preserve">Business Concept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238479" cy="1965915"/>
                <wp:effectExtent b="0" l="0" r="0" t="0"/>
                <wp:wrapNone/>
                <wp:docPr id="1" name=""/>
                <a:graphic>
                  <a:graphicData uri="http://schemas.microsoft.com/office/word/2010/wordprocessingShape">
                    <wps:wsp>
                      <wps:cNvSpPr/>
                      <wps:cNvPr id="2" name="Shape 2"/>
                      <wps:spPr>
                        <a:xfrm>
                          <a:off x="4731523" y="2801805"/>
                          <a:ext cx="1228954" cy="19563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4"/>
                                <w:vertAlign w:val="baseline"/>
                              </w:rPr>
                            </w:r>
                            <w:r w:rsidDel="00000000" w:rsidR="00000000" w:rsidRPr="00000000">
                              <w:rPr>
                                <w:rFonts w:ascii="Calibri" w:cs="Calibri" w:eastAsia="Calibri" w:hAnsi="Calibri"/>
                                <w:b w:val="0"/>
                                <w:i w:val="0"/>
                                <w:smallCaps w:val="0"/>
                                <w:strike w:val="0"/>
                                <w:color w:val="111111"/>
                                <w:sz w:val="24"/>
                                <w:vertAlign w:val="baseline"/>
                              </w:rPr>
                              <w:t xml:space="preserve">[Page Number]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238479" cy="196591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38479" cy="1965915"/>
                        </a:xfrm>
                        <a:prstGeom prst="rect"/>
                        <a:ln/>
                      </pic:spPr>
                    </pic:pic>
                  </a:graphicData>
                </a:graphic>
              </wp:anchor>
            </w:drawing>
          </mc:Fallback>
        </mc:AlternateContent>
      </w:r>
    </w:p>
    <w:p w:rsidR="00000000" w:rsidDel="00000000" w:rsidP="00000000" w:rsidRDefault="00000000" w:rsidRPr="00000000" w14:paraId="00000030">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Market Analysis</w:t>
      </w:r>
    </w:p>
    <w:p w:rsidR="00000000" w:rsidDel="00000000" w:rsidP="00000000" w:rsidRDefault="00000000" w:rsidRPr="00000000" w14:paraId="00000031">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Competition</w:t>
      </w:r>
    </w:p>
    <w:p w:rsidR="00000000" w:rsidDel="00000000" w:rsidP="00000000" w:rsidRDefault="00000000" w:rsidRPr="00000000" w14:paraId="00000032">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Strategic Priorities, Goals, and Objectives</w:t>
      </w:r>
    </w:p>
    <w:p w:rsidR="00000000" w:rsidDel="00000000" w:rsidP="00000000" w:rsidRDefault="00000000" w:rsidRPr="00000000" w14:paraId="00000033">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Management Team</w:t>
      </w:r>
    </w:p>
    <w:p w:rsidR="00000000" w:rsidDel="00000000" w:rsidP="00000000" w:rsidRDefault="00000000" w:rsidRPr="00000000" w14:paraId="00000034">
      <w:pP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Financial Details</w:t>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is a nonprofit academic institution based in Glendale, Arizona. The university caters to both undergraduate and graduate students offering them courses in business, creative arts, and culinary arts. The university is committed to providing the best quality of education with the skills and expertise of its competent faculty and management.</w:t>
      </w:r>
    </w:p>
    <w:p w:rsidR="00000000" w:rsidDel="00000000" w:rsidP="00000000" w:rsidRDefault="00000000" w:rsidRPr="00000000" w14:paraId="0000005B">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offers </w:t>
      </w:r>
      <w:r w:rsidDel="00000000" w:rsidR="00000000" w:rsidRPr="00000000">
        <w:rPr>
          <w:rFonts w:ascii="Calibri" w:cs="Calibri" w:eastAsia="Calibri" w:hAnsi="Calibri"/>
          <w:color w:val="111111"/>
          <w:highlight w:val="yellow"/>
          <w:rtl w:val="0"/>
        </w:rPr>
        <w:t xml:space="preserve">[2- and 4-year]</w:t>
      </w:r>
      <w:r w:rsidDel="00000000" w:rsidR="00000000" w:rsidRPr="00000000">
        <w:rPr>
          <w:rFonts w:ascii="Calibri" w:cs="Calibri" w:eastAsia="Calibri" w:hAnsi="Calibri"/>
          <w:color w:val="111111"/>
          <w:rtl w:val="0"/>
        </w:rPr>
        <w:t xml:space="preserve"> business, creative arts, and culinary arts courses for undergraduate and graduate studies. The university currently holds a record of </w:t>
      </w:r>
      <w:r w:rsidDel="00000000" w:rsidR="00000000" w:rsidRPr="00000000">
        <w:rPr>
          <w:rFonts w:ascii="Calibri" w:cs="Calibri" w:eastAsia="Calibri" w:hAnsi="Calibri"/>
          <w:color w:val="111111"/>
          <w:highlight w:val="yellow"/>
          <w:rtl w:val="0"/>
        </w:rPr>
        <w:t xml:space="preserve">[50,000]</w:t>
      </w:r>
      <w:r w:rsidDel="00000000" w:rsidR="00000000" w:rsidRPr="00000000">
        <w:rPr>
          <w:rFonts w:ascii="Calibri" w:cs="Calibri" w:eastAsia="Calibri" w:hAnsi="Calibri"/>
          <w:color w:val="111111"/>
          <w:rtl w:val="0"/>
        </w:rPr>
        <w:t xml:space="preserve"> students as of the start of Spring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Semester. It records assets amounting to </w:t>
      </w:r>
      <w:r w:rsidDel="00000000" w:rsidR="00000000" w:rsidRPr="00000000">
        <w:rPr>
          <w:rFonts w:ascii="Calibri" w:cs="Calibri" w:eastAsia="Calibri" w:hAnsi="Calibri"/>
          <w:color w:val="111111"/>
          <w:highlight w:val="yellow"/>
          <w:rtl w:val="0"/>
        </w:rPr>
        <w:t xml:space="preserve">[7.5]</w:t>
      </w:r>
      <w:r w:rsidDel="00000000" w:rsidR="00000000" w:rsidRPr="00000000">
        <w:rPr>
          <w:rFonts w:ascii="Calibri" w:cs="Calibri" w:eastAsia="Calibri" w:hAnsi="Calibri"/>
          <w:color w:val="111111"/>
          <w:rtl w:val="0"/>
        </w:rPr>
        <w:t xml:space="preserve"> million USD as of December </w:t>
      </w:r>
      <w:r w:rsidDel="00000000" w:rsidR="00000000" w:rsidRPr="00000000">
        <w:rPr>
          <w:rFonts w:ascii="Calibri" w:cs="Calibri" w:eastAsia="Calibri" w:hAnsi="Calibri"/>
          <w:color w:val="111111"/>
          <w:highlight w:val="yellow"/>
          <w:rtl w:val="0"/>
        </w:rPr>
        <w:t xml:space="preserve">[31, 2018]</w:t>
      </w:r>
      <w:r w:rsidDel="00000000" w:rsidR="00000000" w:rsidRPr="00000000">
        <w:rPr>
          <w:rFonts w:ascii="Calibri" w:cs="Calibri" w:eastAsia="Calibri" w:hAnsi="Calibri"/>
          <w:color w:val="111111"/>
          <w:rtl w:val="0"/>
        </w:rPr>
        <w:t xml:space="preserve">. The university employs </w:t>
      </w:r>
      <w:r w:rsidDel="00000000" w:rsidR="00000000" w:rsidRPr="00000000">
        <w:rPr>
          <w:rFonts w:ascii="Calibri" w:cs="Calibri" w:eastAsia="Calibri" w:hAnsi="Calibri"/>
          <w:color w:val="111111"/>
          <w:highlight w:val="yellow"/>
          <w:rtl w:val="0"/>
        </w:rPr>
        <w:t xml:space="preserve">[250]</w:t>
      </w:r>
      <w:r w:rsidDel="00000000" w:rsidR="00000000" w:rsidRPr="00000000">
        <w:rPr>
          <w:rFonts w:ascii="Calibri" w:cs="Calibri" w:eastAsia="Calibri" w:hAnsi="Calibri"/>
          <w:color w:val="111111"/>
          <w:rtl w:val="0"/>
        </w:rPr>
        <w:t xml:space="preserve"> teachers and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non-teaching personnel with about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coming from the local communities of Glendale, Arizona. It plans to open another course department by </w:t>
      </w:r>
      <w:r w:rsidDel="00000000" w:rsidR="00000000" w:rsidRPr="00000000">
        <w:rPr>
          <w:rFonts w:ascii="Calibri" w:cs="Calibri" w:eastAsia="Calibri" w:hAnsi="Calibri"/>
          <w:color w:val="111111"/>
          <w:highlight w:val="yellow"/>
          <w:rtl w:val="0"/>
        </w:rPr>
        <w:t xml:space="preserve">[2025]</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Mission Statement</w:t>
      </w:r>
    </w:p>
    <w:p w:rsidR="00000000" w:rsidDel="00000000" w:rsidP="00000000" w:rsidRDefault="00000000" w:rsidRPr="00000000" w14:paraId="00000061">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seeks to harness its students’ talents and skills by providing the quality of education that molds students, not only to become productive professionals in the workforce but also an effective and reliable citizen in the society.</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Core Values/Philosophy</w:t>
      </w:r>
    </w:p>
    <w:p w:rsidR="00000000" w:rsidDel="00000000" w:rsidP="00000000" w:rsidRDefault="00000000" w:rsidRPr="00000000" w14:paraId="0000006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is dedicated to educating its students with integrity, respect, and courage as we strive for excellence and create a positive impact on the community we are serving. </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Vision</w:t>
      </w:r>
    </w:p>
    <w:p w:rsidR="00000000" w:rsidDel="00000000" w:rsidP="00000000" w:rsidRDefault="00000000" w:rsidRPr="00000000" w14:paraId="0000006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sees itself as one of the leading academic institution in Arizona that provides the best quality of business, creative arts, and culinary arts education to its students within and outside the state.  </w:t>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tbl>
      <w:tblPr>
        <w:tblStyle w:val="Table1"/>
        <w:tblW w:w="8925.0" w:type="dxa"/>
        <w:jc w:val="left"/>
        <w:tblInd w:w="17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90"/>
        <w:gridCol w:w="4335"/>
        <w:tblGridChange w:id="0">
          <w:tblGrid>
            <w:gridCol w:w="4590"/>
            <w:gridCol w:w="433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SWOT Analysis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Internal Factors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External Factors</w:t>
            </w:r>
          </w:p>
        </w:tc>
      </w:tr>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numPr>
                <w:ilvl w:val="0"/>
                <w:numId w:val="1"/>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only university in Glendale, Arizona that offers business, creative arts, and culinary arts courses</w:t>
            </w:r>
          </w:p>
          <w:p w:rsidR="00000000" w:rsidDel="00000000" w:rsidP="00000000" w:rsidRDefault="00000000" w:rsidRPr="00000000" w14:paraId="00000073">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4">
            <w:pPr>
              <w:widowControl w:val="0"/>
              <w:numPr>
                <w:ilvl w:val="0"/>
                <w:numId w:val="1"/>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Accredited quality of education with the effective contribution of its professional and excellent educators</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numPr>
                <w:ilvl w:val="0"/>
                <w:numId w:val="4"/>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growing interest of students in business and creative arts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ind w:left="18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numPr>
                <w:ilvl w:val="0"/>
                <w:numId w:val="2"/>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tuition is highly expensive in comparison with community colleges and other universities in Glendale, Arizona.</w:t>
            </w:r>
          </w:p>
          <w:p w:rsidR="00000000" w:rsidDel="00000000" w:rsidP="00000000" w:rsidRDefault="00000000" w:rsidRPr="00000000" w14:paraId="00000079">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widowControl w:val="0"/>
              <w:numPr>
                <w:ilvl w:val="0"/>
                <w:numId w:val="2"/>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university area is rather small and lacks grounds and buildings for extra-curricular activities.</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numPr>
                <w:ilvl w:val="0"/>
                <w:numId w:val="3"/>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a newly opened school in Glendale that mainly provides culinary arts education with tuition at a lesser price range.</w:t>
            </w:r>
          </w:p>
          <w:p w:rsidR="00000000" w:rsidDel="00000000" w:rsidP="00000000" w:rsidRDefault="00000000" w:rsidRPr="00000000" w14:paraId="0000007C">
            <w:pPr>
              <w:widowControl w:val="0"/>
              <w:ind w:left="27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D">
            <w:pPr>
              <w:widowControl w:val="0"/>
              <w:numPr>
                <w:ilvl w:val="0"/>
                <w:numId w:val="3"/>
              </w:numPr>
              <w:ind w:left="275"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influence of existing accredited community colleges and universities</w:t>
            </w:r>
          </w:p>
        </w:tc>
      </w:tr>
    </w:tbl>
    <w:p w:rsidR="00000000" w:rsidDel="00000000" w:rsidP="00000000" w:rsidRDefault="00000000" w:rsidRPr="00000000" w14:paraId="0000007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Concept</w:t>
      </w:r>
    </w:p>
    <w:p w:rsidR="00000000" w:rsidDel="00000000" w:rsidP="00000000" w:rsidRDefault="00000000" w:rsidRPr="00000000" w14:paraId="0000008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Product/Service Offered</w:t>
      </w:r>
    </w:p>
    <w:p w:rsidR="00000000" w:rsidDel="00000000" w:rsidP="00000000" w:rsidRDefault="00000000" w:rsidRPr="00000000" w14:paraId="0000008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offers the following business, creative arts, and culinary arts courses as presented on the table below.</w:t>
      </w:r>
    </w:p>
    <w:p w:rsidR="00000000" w:rsidDel="00000000" w:rsidP="00000000" w:rsidRDefault="00000000" w:rsidRPr="00000000" w14:paraId="00000082">
      <w:pPr>
        <w:jc w:val="both"/>
        <w:rPr>
          <w:rFonts w:ascii="Calibri" w:cs="Calibri" w:eastAsia="Calibri" w:hAnsi="Calibri"/>
          <w:color w:val="111111"/>
        </w:rPr>
      </w:pPr>
      <w:r w:rsidDel="00000000" w:rsidR="00000000" w:rsidRPr="00000000">
        <w:rPr>
          <w:rtl w:val="0"/>
        </w:rPr>
      </w:r>
    </w:p>
    <w:tbl>
      <w:tblPr>
        <w:tblStyle w:val="Table2"/>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920"/>
        <w:gridCol w:w="3810"/>
        <w:gridCol w:w="3270"/>
        <w:tblGridChange w:id="0">
          <w:tblGrid>
            <w:gridCol w:w="1920"/>
            <w:gridCol w:w="3810"/>
            <w:gridCol w:w="32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Courses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4-Year/Undergraduate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2-Year/Graduate Programs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Accountancy, Business Administration, and  Finance</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Economics and Global Financial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Creative Arts</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Cinematics and photography, Fine Arts, Crafts, and  Interior Design</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Design studies, Media Arts and Sciences, and Creative Enterprise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Culinary Arts</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Culinary Arts, Baking, and Restaurant Management</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111111"/>
              </w:rPr>
            </w:pPr>
            <w:r w:rsidDel="00000000" w:rsidR="00000000" w:rsidRPr="00000000">
              <w:rPr>
                <w:rFonts w:ascii="Calibri" w:cs="Calibri" w:eastAsia="Calibri" w:hAnsi="Calibri"/>
                <w:color w:val="111111"/>
                <w:rtl w:val="0"/>
              </w:rPr>
              <w:t xml:space="preserve">N/A</w:t>
            </w:r>
          </w:p>
        </w:tc>
      </w:tr>
    </w:tbl>
    <w:p w:rsidR="00000000" w:rsidDel="00000000" w:rsidP="00000000" w:rsidRDefault="00000000" w:rsidRPr="00000000" w14:paraId="0000008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Benefits to Clients/Customers:</w:t>
      </w:r>
    </w:p>
    <w:p w:rsidR="00000000" w:rsidDel="00000000" w:rsidP="00000000" w:rsidRDefault="00000000" w:rsidRPr="00000000" w14:paraId="0000009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gives opportunities to students within Glendale and other parts of Arizona for good quality education. The university offers tuition-free programs for students who are qualified to receive scholarship grants from the government.  </w:t>
      </w:r>
    </w:p>
    <w:p w:rsidR="00000000" w:rsidDel="00000000" w:rsidP="00000000" w:rsidRDefault="00000000" w:rsidRPr="00000000" w14:paraId="0000009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Customers:</w:t>
      </w:r>
    </w:p>
    <w:p w:rsidR="00000000" w:rsidDel="00000000" w:rsidP="00000000" w:rsidRDefault="00000000" w:rsidRPr="00000000" w14:paraId="00000097">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aims to gain more undergraduate students between the age of </w:t>
      </w:r>
      <w:r w:rsidDel="00000000" w:rsidR="00000000" w:rsidRPr="00000000">
        <w:rPr>
          <w:rFonts w:ascii="Calibri" w:cs="Calibri" w:eastAsia="Calibri" w:hAnsi="Calibri"/>
          <w:color w:val="111111"/>
          <w:highlight w:val="yellow"/>
          <w:rtl w:val="0"/>
        </w:rPr>
        <w:t xml:space="preserve">[20 – 28]</w:t>
      </w:r>
      <w:r w:rsidDel="00000000" w:rsidR="00000000" w:rsidRPr="00000000">
        <w:rPr>
          <w:rFonts w:ascii="Calibri" w:cs="Calibri" w:eastAsia="Calibri" w:hAnsi="Calibri"/>
          <w:color w:val="111111"/>
          <w:rtl w:val="0"/>
        </w:rPr>
        <w:t xml:space="preserve">. Furthermore, it also targets individuals from between the age of </w:t>
      </w:r>
      <w:r w:rsidDel="00000000" w:rsidR="00000000" w:rsidRPr="00000000">
        <w:rPr>
          <w:rFonts w:ascii="Calibri" w:cs="Calibri" w:eastAsia="Calibri" w:hAnsi="Calibri"/>
          <w:color w:val="111111"/>
          <w:highlight w:val="yellow"/>
          <w:rtl w:val="0"/>
        </w:rPr>
        <w:t xml:space="preserve">[29 – 40]</w:t>
      </w:r>
      <w:r w:rsidDel="00000000" w:rsidR="00000000" w:rsidRPr="00000000">
        <w:rPr>
          <w:rFonts w:ascii="Calibri" w:cs="Calibri" w:eastAsia="Calibri" w:hAnsi="Calibri"/>
          <w:color w:val="111111"/>
          <w:rtl w:val="0"/>
        </w:rPr>
        <w:t xml:space="preserve"> who are interested to pursue graduate studies in selected business or creative arts courses.</w:t>
      </w:r>
    </w:p>
    <w:p w:rsidR="00000000" w:rsidDel="00000000" w:rsidP="00000000" w:rsidRDefault="00000000" w:rsidRPr="00000000" w14:paraId="0000009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 </w:t>
      </w:r>
    </w:p>
    <w:p w:rsidR="00000000" w:rsidDel="00000000" w:rsidP="00000000" w:rsidRDefault="00000000" w:rsidRPr="00000000" w14:paraId="0000009A">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Trends</w:t>
      </w:r>
    </w:p>
    <w:p w:rsidR="00000000" w:rsidDel="00000000" w:rsidP="00000000" w:rsidRDefault="00000000" w:rsidRPr="00000000" w14:paraId="0000009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recent decrease in the number of international enrollees in undergraduate programs during 2018 required both universities and colleges to be more economical and to minimize disbursements. </w:t>
      </w:r>
    </w:p>
    <w:p w:rsidR="00000000" w:rsidDel="00000000" w:rsidP="00000000" w:rsidRDefault="00000000" w:rsidRPr="00000000" w14:paraId="0000009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Students have been more frugal in spending for school-related and living expenses. In this regard, universities have built buildings within the vicinity of the university to provide low-cost food and housing facilities to upper-class and newly enrolled students.</w:t>
      </w:r>
    </w:p>
    <w:p w:rsidR="00000000" w:rsidDel="00000000" w:rsidP="00000000" w:rsidRDefault="00000000" w:rsidRPr="00000000" w14:paraId="0000009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Universities renovate the workspaces of the instructors, particularly, in the business course department to provide them comfort and ease as they are mostly coming from corporate environments and are used to modern style workspaces.</w:t>
      </w:r>
    </w:p>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Size and Revenue Potential</w:t>
      </w:r>
    </w:p>
    <w:p w:rsidR="00000000" w:rsidDel="00000000" w:rsidP="00000000" w:rsidRDefault="00000000" w:rsidRPr="00000000" w14:paraId="000000A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plans to retain its position as one of the leading prestigious schools in Glendale, Arizona. The university currently has over </w:t>
      </w:r>
      <w:r w:rsidDel="00000000" w:rsidR="00000000" w:rsidRPr="00000000">
        <w:rPr>
          <w:rFonts w:ascii="Calibri" w:cs="Calibri" w:eastAsia="Calibri" w:hAnsi="Calibri"/>
          <w:color w:val="111111"/>
          <w:highlight w:val="yellow"/>
          <w:rtl w:val="0"/>
        </w:rPr>
        <w:t xml:space="preserve">[8,000]</w:t>
      </w:r>
      <w:r w:rsidDel="00000000" w:rsidR="00000000" w:rsidRPr="00000000">
        <w:rPr>
          <w:rFonts w:ascii="Calibri" w:cs="Calibri" w:eastAsia="Calibri" w:hAnsi="Calibri"/>
          <w:color w:val="111111"/>
          <w:rtl w:val="0"/>
        </w:rPr>
        <w:t xml:space="preserve"> students as of the start of the Spring semester. The university will focus on encouraging high school students from all over Glendale and other cities in Arizona to apply for any business, creative arts, or culinary arts course next semester and increase the number of enrollees by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university also plans to put more content on its website and to make it more user-friendly for those who will view it. </w:t>
      </w:r>
    </w:p>
    <w:p w:rsidR="00000000" w:rsidDel="00000000" w:rsidP="00000000" w:rsidRDefault="00000000" w:rsidRPr="00000000" w14:paraId="000000A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highlight w:val="yellow"/>
          <w:rtl w:val="0"/>
        </w:rPr>
        <w:t xml:space="preserve">[Business and Creative Arts University]</w:t>
      </w:r>
      <w:r w:rsidDel="00000000" w:rsidR="00000000" w:rsidRPr="00000000">
        <w:rPr>
          <w:rFonts w:ascii="Calibri" w:cs="Calibri" w:eastAsia="Calibri" w:hAnsi="Calibri"/>
          <w:b w:val="1"/>
          <w:color w:val="111111"/>
          <w:sz w:val="24"/>
          <w:szCs w:val="24"/>
          <w:rtl w:val="0"/>
        </w:rPr>
        <w:t xml:space="preserve"> Growth Forecast for </w:t>
      </w:r>
      <w:r w:rsidDel="00000000" w:rsidR="00000000" w:rsidRPr="00000000">
        <w:rPr>
          <w:rFonts w:ascii="Calibri" w:cs="Calibri" w:eastAsia="Calibri" w:hAnsi="Calibri"/>
          <w:b w:val="1"/>
          <w:color w:val="111111"/>
          <w:sz w:val="24"/>
          <w:szCs w:val="24"/>
          <w:highlight w:val="yellow"/>
          <w:rtl w:val="0"/>
        </w:rPr>
        <w:t xml:space="preserve">[2019]</w:t>
      </w: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111111"/>
          <w:sz w:val="24"/>
          <w:szCs w:val="24"/>
        </w:rPr>
      </w:pPr>
      <w:r w:rsidDel="00000000" w:rsidR="00000000" w:rsidRPr="00000000">
        <w:rPr>
          <w:rtl w:val="0"/>
        </w:rPr>
      </w:r>
    </w:p>
    <w:tbl>
      <w:tblPr>
        <w:tblStyle w:val="Table3"/>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20"/>
        <w:gridCol w:w="3120"/>
        <w:gridCol w:w="2760"/>
        <w:tblGridChange w:id="0">
          <w:tblGrid>
            <w:gridCol w:w="3120"/>
            <w:gridCol w:w="3120"/>
            <w:gridCol w:w="27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FY 2019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Existing Enrolled Students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Enrollees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5.5M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USD 7.5M</w:t>
            </w:r>
          </w:p>
        </w:tc>
      </w:tr>
    </w:tbl>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u w:val="single"/>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Competition</w:t>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recognize the Arizona Business School and the University of Glendale as its top competitors.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Competitive Analysis</w:t>
      </w:r>
    </w:p>
    <w:p w:rsidR="00000000" w:rsidDel="00000000" w:rsidP="00000000" w:rsidRDefault="00000000" w:rsidRPr="00000000" w14:paraId="000000BD">
      <w:pPr>
        <w:jc w:val="both"/>
        <w:rPr>
          <w:rFonts w:ascii="Calibri" w:cs="Calibri" w:eastAsia="Calibri" w:hAnsi="Calibri"/>
          <w:b w:val="1"/>
          <w:color w:val="111111"/>
          <w:sz w:val="24"/>
          <w:szCs w:val="24"/>
        </w:rPr>
      </w:pPr>
      <w:r w:rsidDel="00000000" w:rsidR="00000000" w:rsidRPr="00000000">
        <w:rPr>
          <w:rtl w:val="0"/>
        </w:rPr>
      </w:r>
    </w:p>
    <w:tbl>
      <w:tblPr>
        <w:tblStyle w:val="Table4"/>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120"/>
        <w:gridCol w:w="3120"/>
        <w:gridCol w:w="2760"/>
        <w:tblGridChange w:id="0">
          <w:tblGrid>
            <w:gridCol w:w="3120"/>
            <w:gridCol w:w="3120"/>
            <w:gridCol w:w="2760"/>
          </w:tblGrid>
        </w:tblGridChange>
      </w:tblGrid>
      <w:tr>
        <w:trPr>
          <w:trHeight w:val="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Availability and Price of Academic Courses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Food and Housing Programs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highly priced tuition for all business, creative arts, and culinary arts courses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Food and housing programs are available for new enrollees and upper-class students who are not from Glendale. Privilege included in the tuition fee charged. </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Arizona Business School</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fairly priced tuition for business courses; does not offer other academic programs other than business</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university offers food and housing programs but is highly expensive.</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University of Glendale</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fairly priced creative arts and culinary arts courses; does not offer other programs other than the ones mentioned</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university does not have such program offering to its students.</w:t>
            </w:r>
          </w:p>
        </w:tc>
      </w:tr>
    </w:tbl>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Strategic Key Performance Areas (KPAs), Goals, and Objectives  </w:t>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Legend: </w:t>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Priority Levels                                                                     </w:t>
      </w:r>
    </w:p>
    <w:p w:rsidR="00000000" w:rsidDel="00000000" w:rsidP="00000000" w:rsidRDefault="00000000" w:rsidRPr="00000000" w14:paraId="000000C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Priority</w:t>
        <w:tab/>
        <w:t xml:space="preserve">  Name</w:t>
        <w:tab/>
        <w:t xml:space="preserve"> Definition                                          </w:t>
      </w:r>
    </w:p>
    <w:p w:rsidR="00000000" w:rsidDel="00000000" w:rsidP="00000000" w:rsidRDefault="00000000" w:rsidRPr="00000000" w14:paraId="000000D0">
      <w:pPr>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tab/>
        <w:t xml:space="preserve">                 Low Cost, High Impact                                        </w:t>
        <w:br w:type="textWrapping"/>
        <w:t xml:space="preserve">Normal</w:t>
        <w:tab/>
        <w:t xml:space="preserve">                  Average Cost and  Impact</w:t>
        <w:br w:type="textWrapping"/>
        <w:t xml:space="preserve">Low</w:t>
        <w:tab/>
        <w:t xml:space="preserve">                  High Cost, Low Impact</w:t>
      </w:r>
    </w:p>
    <w:p w:rsidR="00000000" w:rsidDel="00000000" w:rsidP="00000000" w:rsidRDefault="00000000" w:rsidRPr="00000000" w14:paraId="000000D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Definition of Status</w:t>
      </w:r>
    </w:p>
    <w:p w:rsidR="00000000" w:rsidDel="00000000" w:rsidP="00000000" w:rsidRDefault="00000000" w:rsidRPr="00000000" w14:paraId="000000D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Ongoing - The activity is on track/on schedule.</w:t>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At Risk - There are issues facing the activity, but can still be resolved.</w:t>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 Hold - A serious issue needs to be resolved before the activity can continue.</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Financial Sustainability</w:t>
      </w:r>
    </w:p>
    <w:p w:rsidR="00000000" w:rsidDel="00000000" w:rsidP="00000000" w:rsidRDefault="00000000" w:rsidRPr="00000000" w14:paraId="000000D9">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will have a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increase in its operating income for the first quarter of its fiscal year beginning January </w:t>
      </w:r>
      <w:r w:rsidDel="00000000" w:rsidR="00000000" w:rsidRPr="00000000">
        <w:rPr>
          <w:rFonts w:ascii="Calibri" w:cs="Calibri" w:eastAsia="Calibri" w:hAnsi="Calibri"/>
          <w:color w:val="111111"/>
          <w:highlight w:val="yellow"/>
          <w:rtl w:val="0"/>
        </w:rPr>
        <w:t xml:space="preserve">[31, 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At the end of the first quarter, the university should gain about </w:t>
      </w:r>
      <w:r w:rsidDel="00000000" w:rsidR="00000000" w:rsidRPr="00000000">
        <w:rPr>
          <w:rFonts w:ascii="Calibri" w:cs="Calibri" w:eastAsia="Calibri" w:hAnsi="Calibri"/>
          <w:color w:val="111111"/>
          <w:highlight w:val="yellow"/>
          <w:rtl w:val="0"/>
        </w:rPr>
        <w:t xml:space="preserve">[150,000]</w:t>
      </w:r>
      <w:r w:rsidDel="00000000" w:rsidR="00000000" w:rsidRPr="00000000">
        <w:rPr>
          <w:rFonts w:ascii="Calibri" w:cs="Calibri" w:eastAsia="Calibri" w:hAnsi="Calibri"/>
          <w:color w:val="111111"/>
          <w:rtl w:val="0"/>
        </w:rPr>
        <w:t xml:space="preserve"> USD increase in its operating income.</w:t>
      </w:r>
    </w:p>
    <w:tbl>
      <w:tblPr>
        <w:tblStyle w:val="Table5"/>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60"/>
        <w:gridCol w:w="2160"/>
        <w:gridCol w:w="1620"/>
        <w:gridCol w:w="1080"/>
        <w:gridCol w:w="1080"/>
        <w:tblGridChange w:id="0">
          <w:tblGrid>
            <w:gridCol w:w="3060"/>
            <w:gridCol w:w="2160"/>
            <w:gridCol w:w="1620"/>
            <w:gridCol w:w="1080"/>
            <w:gridCol w:w="1080"/>
          </w:tblGrid>
        </w:tblGridChange>
      </w:tblGrid>
      <w:tr>
        <w:trPr>
          <w:trHeight w:val="6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Responsibility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Minimize the disbursement on selected operating expenses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President, VP Administration,  and Finance</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28, 2019</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w:t>
            </w:r>
          </w:p>
        </w:tc>
      </w:tr>
    </w:tbl>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Student Recruitment</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w:t>
      </w: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will gain more interstate enrollees for the Spring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Semester.</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The university will have </w:t>
      </w:r>
      <w:r w:rsidDel="00000000" w:rsidR="00000000" w:rsidRPr="00000000">
        <w:rPr>
          <w:rFonts w:ascii="Calibri" w:cs="Calibri" w:eastAsia="Calibri" w:hAnsi="Calibri"/>
          <w:color w:val="111111"/>
          <w:highlight w:val="yellow"/>
          <w:rtl w:val="0"/>
        </w:rPr>
        <w:t xml:space="preserve">[5,000]</w:t>
      </w:r>
      <w:r w:rsidDel="00000000" w:rsidR="00000000" w:rsidRPr="00000000">
        <w:rPr>
          <w:rFonts w:ascii="Calibri" w:cs="Calibri" w:eastAsia="Calibri" w:hAnsi="Calibri"/>
          <w:color w:val="111111"/>
          <w:rtl w:val="0"/>
        </w:rPr>
        <w:t xml:space="preserve"> more enrollees coming from other cities and states. </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tbl>
      <w:tblPr>
        <w:tblStyle w:val="Table6"/>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60"/>
        <w:gridCol w:w="2160"/>
        <w:gridCol w:w="1620"/>
        <w:gridCol w:w="1080"/>
        <w:gridCol w:w="1080"/>
        <w:tblGridChange w:id="0">
          <w:tblGrid>
            <w:gridCol w:w="3060"/>
            <w:gridCol w:w="2160"/>
            <w:gridCol w:w="162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Send invites to students who have high scores during the standardized tests in various high schools in Arizona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VP Enrollment Management</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10, 2019</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University Reputation</w:t>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Business and Creative Arts will be on the top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best universities in Arizona to enroll in by the end of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To reach about </w:t>
      </w:r>
      <w:r w:rsidDel="00000000" w:rsidR="00000000" w:rsidRPr="00000000">
        <w:rPr>
          <w:rFonts w:ascii="Calibri" w:cs="Calibri" w:eastAsia="Calibri" w:hAnsi="Calibri"/>
          <w:color w:val="111111"/>
          <w:highlight w:val="yellow"/>
          <w:rtl w:val="0"/>
        </w:rPr>
        <w:t xml:space="preserve">[80%]</w:t>
      </w:r>
      <w:r w:rsidDel="00000000" w:rsidR="00000000" w:rsidRPr="00000000">
        <w:rPr>
          <w:rFonts w:ascii="Calibri" w:cs="Calibri" w:eastAsia="Calibri" w:hAnsi="Calibri"/>
          <w:color w:val="111111"/>
          <w:rtl w:val="0"/>
        </w:rPr>
        <w:t xml:space="preserve"> rating from educators and students in Arizona recommending the university as the best school to enroll in. </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tbl>
      <w:tblPr>
        <w:tblStyle w:val="Table7"/>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60"/>
        <w:gridCol w:w="2160"/>
        <w:gridCol w:w="1620"/>
        <w:gridCol w:w="1080"/>
        <w:gridCol w:w="1080"/>
        <w:tblGridChange w:id="0">
          <w:tblGrid>
            <w:gridCol w:w="3060"/>
            <w:gridCol w:w="2160"/>
            <w:gridCol w:w="162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Conduct a survey among high schools in Arizona </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VP University Advancement and Public Affairs</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Risk</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Normal</w:t>
            </w:r>
          </w:p>
        </w:tc>
      </w:tr>
    </w:tbl>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KPA: University Faculty</w:t>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Goal:  Decrease the number of instructors leaving the university</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Objective: Provide avenues for instructors to exhibit their area of expertise to promote their professional development and encourage retention</w:t>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tl w:val="0"/>
        </w:rPr>
      </w:r>
    </w:p>
    <w:tbl>
      <w:tblPr>
        <w:tblStyle w:val="Table8"/>
        <w:tblW w:w="900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60"/>
        <w:gridCol w:w="2160"/>
        <w:gridCol w:w="1620"/>
        <w:gridCol w:w="1080"/>
        <w:gridCol w:w="1080"/>
        <w:tblGridChange w:id="0">
          <w:tblGrid>
            <w:gridCol w:w="3060"/>
            <w:gridCol w:w="2160"/>
            <w:gridCol w:w="1620"/>
            <w:gridCol w:w="1080"/>
            <w:gridCol w:w="10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Action Items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Owner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Priority</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activities and programs for the university faculty to be engaged in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VP Academic Affairs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15, 2019</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w:t>
            </w:r>
          </w:p>
        </w:tc>
      </w:tr>
    </w:tbl>
    <w:p w:rsidR="00000000" w:rsidDel="00000000" w:rsidP="00000000" w:rsidRDefault="00000000" w:rsidRPr="00000000" w14:paraId="000001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1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Fonts w:ascii="Calibri" w:cs="Calibri" w:eastAsia="Calibri" w:hAnsi="Calibri"/>
          <w:color w:val="111111"/>
          <w:rtl w:val="0"/>
        </w:rPr>
        <w:t xml:space="preserve"> has a reliable board of trustees who provide strategic decisions for the welfare of all the stakeholders of the university. The university is headed by the president and assisted by the different vice presidents for the following areas: administration and finance, academic affairs, enrollment management, university advancement and public affairs, student affairs and university maintenance. It has a competent and experienced faculty and plans to add more qualified educators to teach the students.  </w:t>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Details</w:t>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tl w:val="0"/>
        </w:rPr>
      </w:r>
    </w:p>
    <w:tbl>
      <w:tblPr>
        <w:tblStyle w:val="Table9"/>
        <w:tblW w:w="900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200"/>
        <w:gridCol w:w="1950"/>
        <w:gridCol w:w="2850"/>
        <w:tblGridChange w:id="0">
          <w:tblGrid>
            <w:gridCol w:w="4200"/>
            <w:gridCol w:w="1950"/>
            <w:gridCol w:w="2850"/>
          </w:tblGrid>
        </w:tblGridChange>
      </w:tblGrid>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1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highlight w:val="yellow"/>
                <w:rtl w:val="0"/>
              </w:rPr>
              <w:t xml:space="preserve">[Business and Creative Arts University]</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1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w:t>
            </w: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bottom"/>
          </w:tcPr>
          <w:p w:rsidR="00000000" w:rsidDel="00000000" w:rsidP="00000000" w:rsidRDefault="00000000" w:rsidRPr="00000000" w14:paraId="0000012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[USD $]</w:t>
            </w:r>
          </w:p>
        </w:tc>
      </w:tr>
      <w:tr>
        <w:trPr>
          <w:trHeight w:val="340" w:hRule="atLeast"/>
        </w:trPr>
        <w:tc>
          <w:tcPr>
            <w:shd w:fill="ffffff" w:val="clear"/>
            <w:tcMar>
              <w:top w:w="40.0" w:type="dxa"/>
              <w:left w:w="40.0" w:type="dxa"/>
              <w:bottom w:w="40.0" w:type="dxa"/>
              <w:right w:w="40.0" w:type="dxa"/>
            </w:tcMar>
            <w:vAlign w:val="bottom"/>
          </w:tcPr>
          <w:p w:rsidR="00000000" w:rsidDel="00000000" w:rsidP="00000000" w:rsidRDefault="00000000" w:rsidRPr="00000000" w14:paraId="00000124">
            <w:pPr>
              <w:widowControl w:val="0"/>
              <w:ind w:left="5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2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Prepaid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715,000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9,145,000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Property &amp;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Goodwill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10,525,000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4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Accrued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Unearned Revenue</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4,280,000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5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Debt</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Long-Term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Equity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5,405,000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Shareholders'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10,525,000</w:t>
            </w:r>
            <w:r w:rsidDel="00000000" w:rsidR="00000000" w:rsidRPr="00000000">
              <w:rPr>
                <w:rtl w:val="0"/>
              </w:rPr>
            </w:r>
          </w:p>
        </w:tc>
      </w:tr>
    </w:tbl>
    <w:p w:rsidR="00000000" w:rsidDel="00000000" w:rsidP="00000000" w:rsidRDefault="00000000" w:rsidRPr="00000000" w14:paraId="0000017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color w:val="111111"/>
        </w:rPr>
      </w:pPr>
      <w:r w:rsidDel="00000000" w:rsidR="00000000" w:rsidRPr="00000000">
        <w:rPr>
          <w:rtl w:val="0"/>
        </w:rPr>
      </w:r>
    </w:p>
    <w:tbl>
      <w:tblPr>
        <w:tblStyle w:val="Table10"/>
        <w:tblW w:w="921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500"/>
        <w:gridCol w:w="4710"/>
        <w:gridCol w:w="1500"/>
        <w:gridCol w:w="1500"/>
        <w:tblGridChange w:id="0">
          <w:tblGrid>
            <w:gridCol w:w="1500"/>
            <w:gridCol w:w="4710"/>
            <w:gridCol w:w="1500"/>
            <w:gridCol w:w="1500"/>
          </w:tblGrid>
        </w:tblGridChange>
      </w:tblGrid>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7D">
            <w:pPr>
              <w:widowControl w:val="0"/>
              <w:ind w:left="50"/>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[Business and Creative Arts University]</w:t>
            </w:r>
            <w:r w:rsidDel="00000000" w:rsidR="00000000" w:rsidRPr="00000000">
              <w:rPr>
                <w:rtl w:val="0"/>
              </w:rPr>
            </w:r>
          </w:p>
        </w:tc>
      </w:tr>
      <w:tr>
        <w:trPr>
          <w:trHeight w:val="34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8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in [USD $]</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Year Ending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12-31-2018</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12-31-2019</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Beginning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Operations</w:t>
            </w: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2019</w:t>
            </w: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 purchases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General operating and administrative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Wage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Income taxes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Operations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1,775,000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Investing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Collection of principal on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property and equipment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Making loans to other entities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 of investment securities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Investing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Financing Activities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receipts from</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Issuance of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Borrowing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0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paid for</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Repurchase of stock (treasury stock)</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Repayment of loans</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-475,000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Dividends</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-670,000</w:t>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Cash Flow from Financing Activities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355,000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bottom"/>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Net Increase in 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2,430,000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Cash at End of Year</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3,575,000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6,005,000</w:t>
            </w:r>
          </w:p>
        </w:tc>
      </w:tr>
    </w:tbl>
    <w:p w:rsidR="00000000" w:rsidDel="00000000" w:rsidP="00000000" w:rsidRDefault="00000000" w:rsidRPr="00000000" w14:paraId="000002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8">
      <w:pPr>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2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2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2C">
      <w:pPr>
        <w:rPr>
          <w:rFonts w:ascii="Calibri" w:cs="Calibri" w:eastAsia="Calibri" w:hAnsi="Calibri"/>
          <w:color w:val="111111"/>
        </w:rPr>
      </w:pPr>
      <w:r w:rsidDel="00000000" w:rsidR="00000000" w:rsidRPr="00000000">
        <w:rPr>
          <w:rtl w:val="0"/>
        </w:rPr>
      </w:r>
    </w:p>
    <w:sectPr>
      <w:footerReference r:id="rId8" w:type="default"/>
      <w:footerReference r:id="rId9" w:type="first"/>
      <w:pgSz w:h="16839" w:w="11907"/>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6426200</wp:posOffset>
              </wp:positionH>
              <wp:positionV relativeFrom="paragraph">
                <wp:posOffset>-800099</wp:posOffset>
              </wp:positionV>
              <wp:extent cx="375238" cy="1672070"/>
              <wp:effectExtent b="0" l="0" r="0" t="0"/>
              <wp:wrapNone/>
              <wp:docPr id="2" name=""/>
              <a:graphic>
                <a:graphicData uri="http://schemas.microsoft.com/office/word/2010/wordprocessingShape">
                  <wps:wsp>
                    <wps:cNvSpPr/>
                    <wps:cNvPr id="3" name="Shape 3"/>
                    <wps:spPr>
                      <a:xfrm>
                        <a:off x="5163144" y="2948728"/>
                        <a:ext cx="365713" cy="1662545"/>
                      </a:xfrm>
                      <a:prstGeom prst="rect">
                        <a:avLst/>
                      </a:prstGeom>
                      <a:solidFill>
                        <a:srgbClr val="30859C"/>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6426200</wp:posOffset>
              </wp:positionH>
              <wp:positionV relativeFrom="paragraph">
                <wp:posOffset>-800099</wp:posOffset>
              </wp:positionV>
              <wp:extent cx="375238" cy="167207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75238" cy="167207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15" w:hanging="360"/>
      </w:pPr>
      <w:rPr>
        <w:u w:val="none"/>
      </w:rPr>
    </w:lvl>
    <w:lvl w:ilvl="1">
      <w:start w:val="1"/>
      <w:numFmt w:val="bullet"/>
      <w:lvlText w:val="○"/>
      <w:lvlJc w:val="left"/>
      <w:pPr>
        <w:ind w:left="1435" w:hanging="360"/>
      </w:pPr>
      <w:rPr>
        <w:u w:val="none"/>
      </w:rPr>
    </w:lvl>
    <w:lvl w:ilvl="2">
      <w:start w:val="1"/>
      <w:numFmt w:val="bullet"/>
      <w:lvlText w:val="■"/>
      <w:lvlJc w:val="left"/>
      <w:pPr>
        <w:ind w:left="2155" w:hanging="360"/>
      </w:pPr>
      <w:rPr>
        <w:u w:val="none"/>
      </w:rPr>
    </w:lvl>
    <w:lvl w:ilvl="3">
      <w:start w:val="1"/>
      <w:numFmt w:val="bullet"/>
      <w:lvlText w:val="●"/>
      <w:lvlJc w:val="left"/>
      <w:pPr>
        <w:ind w:left="2875" w:hanging="360"/>
      </w:pPr>
      <w:rPr>
        <w:u w:val="none"/>
      </w:rPr>
    </w:lvl>
    <w:lvl w:ilvl="4">
      <w:start w:val="1"/>
      <w:numFmt w:val="bullet"/>
      <w:lvlText w:val="○"/>
      <w:lvlJc w:val="left"/>
      <w:pPr>
        <w:ind w:left="3595" w:hanging="360"/>
      </w:pPr>
      <w:rPr>
        <w:u w:val="none"/>
      </w:rPr>
    </w:lvl>
    <w:lvl w:ilvl="5">
      <w:start w:val="1"/>
      <w:numFmt w:val="bullet"/>
      <w:lvlText w:val="■"/>
      <w:lvlJc w:val="left"/>
      <w:pPr>
        <w:ind w:left="4315" w:hanging="360"/>
      </w:pPr>
      <w:rPr>
        <w:u w:val="none"/>
      </w:rPr>
    </w:lvl>
    <w:lvl w:ilvl="6">
      <w:start w:val="1"/>
      <w:numFmt w:val="bullet"/>
      <w:lvlText w:val="●"/>
      <w:lvlJc w:val="left"/>
      <w:pPr>
        <w:ind w:left="5035" w:hanging="360"/>
      </w:pPr>
      <w:rPr>
        <w:u w:val="none"/>
      </w:rPr>
    </w:lvl>
    <w:lvl w:ilvl="7">
      <w:start w:val="1"/>
      <w:numFmt w:val="bullet"/>
      <w:lvlText w:val="○"/>
      <w:lvlJc w:val="left"/>
      <w:pPr>
        <w:ind w:left="5755" w:hanging="360"/>
      </w:pPr>
      <w:rPr>
        <w:u w:val="none"/>
      </w:rPr>
    </w:lvl>
    <w:lvl w:ilvl="8">
      <w:start w:val="1"/>
      <w:numFmt w:val="bullet"/>
      <w:lvlText w:val="■"/>
      <w:lvlJc w:val="left"/>
      <w:pPr>
        <w:ind w:left="6475"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