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5794208" cy="7408987"/>
                <wp:effectExtent b="0" l="0" r="0" t="0"/>
                <wp:wrapNone/>
                <wp:docPr id="5" name=""/>
                <a:graphic>
                  <a:graphicData uri="http://schemas.microsoft.com/office/word/2010/wordprocessingGroup">
                    <wpg:wgp>
                      <wpg:cNvGrpSpPr/>
                      <wpg:grpSpPr>
                        <a:xfrm>
                          <a:off x="2448896" y="76279"/>
                          <a:ext cx="5794208" cy="7408987"/>
                          <a:chOff x="2448896" y="76279"/>
                          <a:chExt cx="5794208" cy="7407442"/>
                        </a:xfrm>
                      </wpg:grpSpPr>
                      <wpg:grpSp>
                        <wpg:cNvGrpSpPr/>
                        <wpg:grpSpPr>
                          <a:xfrm>
                            <a:off x="2448896" y="76279"/>
                            <a:ext cx="5794208" cy="7407442"/>
                            <a:chOff x="0" y="0"/>
                            <a:chExt cx="5794208" cy="7407442"/>
                          </a:xfrm>
                        </wpg:grpSpPr>
                        <wps:wsp>
                          <wps:cNvSpPr/>
                          <wps:cNvPr id="4" name="Shape 4"/>
                          <wps:spPr>
                            <a:xfrm>
                              <a:off x="0" y="0"/>
                              <a:ext cx="5794200" cy="740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219450" cy="34861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33450" y="838200"/>
                              <a:ext cx="4860758" cy="6569242"/>
                            </a:xfrm>
                            <a:prstGeom prst="rect">
                              <a:avLst/>
                            </a:prstGeom>
                            <a:solidFill>
                              <a:srgbClr val="508C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66850" y="1371600"/>
                              <a:ext cx="3676650" cy="198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MUSIC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SCHOOL BUSINESS PLAN</w:t>
                                </w:r>
                              </w:p>
                            </w:txbxContent>
                          </wps:txbx>
                          <wps:bodyPr anchorCtr="0" anchor="t" bIns="45700" lIns="91425" spcFirstLastPara="1" rIns="91425" wrap="square" tIns="45700">
                            <a:noAutofit/>
                          </wps:bodyPr>
                        </wps:wsp>
                        <wps:wsp>
                          <wps:cNvSpPr/>
                          <wps:cNvPr id="24" name="Shape 24"/>
                          <wps:spPr>
                            <a:xfrm>
                              <a:off x="1466850" y="3962400"/>
                              <a:ext cx="293116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Business Plan For Fiscal Year 2020</w:t>
                                </w:r>
                              </w:p>
                            </w:txbxContent>
                          </wps:txbx>
                          <wps:bodyPr anchorCtr="0" anchor="t" bIns="45700" lIns="91425" spcFirstLastPara="1" rIns="91425" wrap="square" tIns="45700">
                            <a:noAutofit/>
                          </wps:bodyPr>
                        </wps:wsp>
                        <wps:wsp>
                          <wps:cNvSpPr/>
                          <wps:cNvPr id="25" name="Shape 25"/>
                          <wps:spPr>
                            <a:xfrm>
                              <a:off x="1466850" y="5143500"/>
                              <a:ext cx="2914015" cy="1570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[Cheryl Downing] [cherdowning@gmail.com]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[303-965-9491] [www.coinwashexpress.com]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[2076 S University Blvd University Park, Denver, CO 80210,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5794208" cy="7408987"/>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794208" cy="7408987"/>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114300</wp:posOffset>
                </wp:positionV>
                <wp:extent cx="1771586" cy="399399"/>
                <wp:effectExtent b="0" l="0" r="0" t="0"/>
                <wp:wrapNone/>
                <wp:docPr id="1" name=""/>
                <a:graphic>
                  <a:graphicData uri="http://schemas.microsoft.com/office/word/2010/wordprocessingShape">
                    <wps:wsp>
                      <wps:cNvSpPr/>
                      <wps:cNvPr id="2" name="Shape 2"/>
                      <wps:spPr>
                        <a:xfrm>
                          <a:off x="4464970" y="3585063"/>
                          <a:ext cx="1762061" cy="38987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January 24, 2019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114300</wp:posOffset>
                </wp:positionV>
                <wp:extent cx="1771586" cy="399399"/>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71586" cy="399399"/>
                        </a:xfrm>
                        <a:prstGeom prst="rect"/>
                        <a:ln/>
                      </pic:spPr>
                    </pic:pic>
                  </a:graphicData>
                </a:graphic>
              </wp:anchor>
            </w:drawing>
          </mc:Fallback>
        </mc:AlternateContent>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F">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30">
      <w:pPr>
        <w:ind w:left="720"/>
        <w:jc w:val="center"/>
        <w:rPr>
          <w:rFonts w:ascii="Calibri" w:cs="Calibri" w:eastAsia="Calibri" w:hAnsi="Calibri"/>
          <w:b w:val="1"/>
          <w:color w:val="111111"/>
          <w:sz w:val="26"/>
          <w:szCs w:val="26"/>
        </w:rPr>
      </w:pPr>
      <w:r w:rsidDel="00000000" w:rsidR="00000000" w:rsidRPr="00000000">
        <w:rPr>
          <w:rFonts w:ascii="Calibri" w:cs="Calibri" w:eastAsia="Calibri" w:hAnsi="Calibri"/>
          <w:b w:val="1"/>
          <w:color w:val="111111"/>
          <w:sz w:val="26"/>
          <w:szCs w:val="26"/>
          <w:rtl w:val="0"/>
        </w:rPr>
        <w:t xml:space="preserve">CONTENTS</w:t>
      </w:r>
    </w:p>
    <w:p w:rsidR="00000000" w:rsidDel="00000000" w:rsidP="00000000" w:rsidRDefault="00000000" w:rsidRPr="00000000" w14:paraId="00000031">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sz w:val="24"/>
          <w:szCs w:val="24"/>
          <w:rtl w:val="0"/>
        </w:rPr>
        <w:t xml:space="preserve">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139700</wp:posOffset>
                </wp:positionV>
                <wp:extent cx="1238479" cy="1501826"/>
                <wp:effectExtent b="0" l="0" r="0" t="0"/>
                <wp:wrapNone/>
                <wp:docPr id="4" name=""/>
                <a:graphic>
                  <a:graphicData uri="http://schemas.microsoft.com/office/word/2010/wordprocessingShape">
                    <wps:wsp>
                      <wps:cNvSpPr/>
                      <wps:cNvPr id="19" name="Shape 19"/>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139700</wp:posOffset>
                </wp:positionV>
                <wp:extent cx="1238479" cy="1501826"/>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32">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[Pittsburgh Professional]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[Music Academy (PPMA)]</w:t>
      </w:r>
      <w:r w:rsidDel="00000000" w:rsidR="00000000" w:rsidRPr="00000000">
        <w:rPr>
          <w:rFonts w:ascii="Calibri" w:cs="Calibri" w:eastAsia="Calibri" w:hAnsi="Calibri"/>
          <w:color w:val="111111"/>
          <w:rtl w:val="0"/>
        </w:rPr>
        <w:t xml:space="preserve"> is a school of music based in Pittsburgh, Pennsylvania. Three major programs comprise the academy's curriculum: instrument playing with basic recording, commercial songwriting, and professional music production. The academy aims to help local independent musicians and songwriters, as well as young people in and around Pittsburgh, build a career in music.</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is confident that its programs and expertise can lure more people to enroll in, including those who are still hesitant to get formal music education.</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[Pittsburgh Professional]</w:t>
      </w:r>
      <w:r w:rsidDel="00000000" w:rsidR="00000000" w:rsidRPr="00000000">
        <w:rPr>
          <w:rFonts w:ascii="Calibri" w:cs="Calibri" w:eastAsia="Calibri" w:hAnsi="Calibri"/>
          <w:color w:val="111111"/>
          <w:rtl w:val="0"/>
        </w:rPr>
        <w:t xml:space="preserve"> Music Academy helps young musicians and songwriters in Pittsburgh create a mark in the professional music industry.</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values the cultivation of creativity and culture in a community where music is yet to be seen as a key component to a livable city. The school's curriculums are designed to educate students that music plays a vital role in the community, that it is a lucrative livelihood, and that it facilitates for the creative expression of one’s self.</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w:t>
        <w:tab/>
        <w:t xml:space="preserve">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aspires to contribute to the growth of Pittsburgh's music community by providing access to anyone who has an ear for music.</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City of Pittsburgh has received numerous requests for more community programs for independent musicians, most of which are coursed through the Pittsburgh Downtown Partnership.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sees this as an opportunity to coordinate with the city to help resolve the concerns of these musicians, most especially those who are yet to undergo proper training. In its first two years of operation, the academy aims to have at least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single-course students,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full-time students, and working partnerships with local record labels and publishing companies where the students can also apply for internships or even be hired as salaried employees.</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Entertainment Industry / Education Industry</w:t>
      </w:r>
    </w:p>
    <w:p w:rsidR="00000000" w:rsidDel="00000000" w:rsidP="00000000" w:rsidRDefault="00000000" w:rsidRPr="00000000" w14:paraId="00000068">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and Ownership: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will be formed as a limited liability partnership (LLP) in the state of Pennsylvania. The partnership will consist of four members, who will contribute both in the financial and operational aspects of the business. </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costs for the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are set at $235,000.00. </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270"/>
        <w:gridCol w:w="2820"/>
        <w:tblGridChange w:id="0">
          <w:tblGrid>
            <w:gridCol w:w="6270"/>
            <w:gridCol w:w="282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Tools, Equipment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Licenses and Permits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5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r>
    </w:tbl>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20"/>
        <w:gridCol w:w="3045"/>
        <w:gridCol w:w="3825"/>
        <w:tblGridChange w:id="0">
          <w:tblGrid>
            <w:gridCol w:w="2220"/>
            <w:gridCol w:w="3045"/>
            <w:gridCol w:w="382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Taylor Klein</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Operations Officer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decision making, resource management</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Nicholas Adams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and Admin Manager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relations, customer service, office organization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Jason McPherson</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Sales Director</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planning, commercial awareness, sales planning</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Sara Perez</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Numeracy and technical skills, problem-solving, data analysis</w:t>
            </w:r>
          </w:p>
        </w:tc>
      </w:tr>
    </w:tbl>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tbl>
      <w:tblPr>
        <w:tblStyle w:val="Table3"/>
        <w:tblW w:w="912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425"/>
        <w:tblGridChange w:id="0">
          <w:tblGrid>
            <w:gridCol w:w="4695"/>
            <w:gridCol w:w="44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Register with the state of Pennsylvania as an LLP</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Obtained all required forms to be filled on November 13, 2018.</w:t>
            </w:r>
          </w:p>
          <w:p w:rsidR="00000000" w:rsidDel="00000000" w:rsidP="00000000" w:rsidRDefault="00000000" w:rsidRPr="00000000" w14:paraId="000000D0">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all forms and submitted together with other requirements on December 7, 2018.</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leasehold on commercial property to be used for business</w:t>
            </w:r>
          </w:p>
        </w:tc>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Met with property manager and discussed requirements for the leasehold on November 7, 2018.</w:t>
            </w:r>
          </w:p>
          <w:p w:rsidR="00000000" w:rsidDel="00000000" w:rsidP="00000000" w:rsidRDefault="00000000" w:rsidRPr="00000000" w14:paraId="000000D4">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Signed commercial lease contract on January 8, 2019. </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clients by 10% to 20% starting Q3 of FY2</w:t>
            </w:r>
          </w:p>
        </w:tc>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Drafted marketing plan (from 3rd week of November to 2nd week of December).</w:t>
            </w:r>
          </w:p>
          <w:p w:rsidR="00000000" w:rsidDel="00000000" w:rsidP="00000000" w:rsidRDefault="00000000" w:rsidRPr="00000000" w14:paraId="000000DA">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Incorporated marketing plan into 3-year sales plan (from 3rd week of December to present).</w:t>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Collaborate with the Pittsburgh Downtown Partnership on a special scholarship program for exceptional local musicians and songwriters</w:t>
            </w:r>
          </w:p>
        </w:tc>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Met with representatives from the Pittsburgh Downtown Partnership to discuss prospects on the program on December 20, 2018. </w:t>
            </w:r>
          </w:p>
          <w:p w:rsidR="00000000" w:rsidDel="00000000" w:rsidP="00000000" w:rsidRDefault="00000000" w:rsidRPr="00000000" w14:paraId="000000DE">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a scholarship program outline providing rough details on course offerings (from January 3, 2019 to present).</w:t>
            </w:r>
          </w:p>
        </w:tc>
      </w:tr>
    </w:tbl>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Service Description: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will offer both part-time and full-time courses for instrument playing, basic audio recording, commercial songwriting, and professional music production (including advanced recording, mixing, and mastering audio). Once the academy is authorized by the state government to provide formal education, four-year music and audio production degrees will be offered. </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 company will use penetration pricing in its first year of operation for local musicians and songwriters who are mostly from low- to middle-income households. Price bundling will also be incorporated into the strategy.</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3045"/>
        <w:gridCol w:w="1635"/>
        <w:gridCol w:w="2340"/>
        <w:tblGridChange w:id="0">
          <w:tblGrid>
            <w:gridCol w:w="2340"/>
            <w:gridCol w:w="3045"/>
            <w:gridCol w:w="1635"/>
            <w:gridCol w:w="234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Course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Tuition Fees</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session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quarter</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Individual Courses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Instruments + Basic Audio Recording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p w:rsidR="00000000" w:rsidDel="00000000" w:rsidP="00000000" w:rsidRDefault="00000000" w:rsidRPr="00000000" w14:paraId="000000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(minimum of 3 sessions)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Songwriting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p w:rsidR="00000000" w:rsidDel="00000000" w:rsidP="00000000" w:rsidRDefault="00000000" w:rsidRPr="00000000" w14:paraId="000000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(minimum of 2 sessions)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Professional Music Production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p w:rsidR="00000000" w:rsidDel="00000000" w:rsidP="00000000" w:rsidRDefault="00000000" w:rsidRPr="00000000" w14:paraId="000001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(minimum of 5 sessions)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Course Packages (All payable in installments)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Instruments, Recording, Songwriting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Songwriting and Music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bl>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"Play like a pro. Produce like a pro." The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has a unique approach to professional music education, but it guarantees that it can compete with high-end music schools inside and outside of Pittsburgh. Its instructors--who are either musicians or music producers, or both--have had more than 5 years of experience in teaching music.</w:t>
      </w: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Marketing strategies for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will be focused on immersing in the local music community by participating in or sponsoring in gigs and shows. It also plans to strengthen its online presence via different social media platforms.</w:t>
      </w:r>
      <w:r w:rsidDel="00000000" w:rsidR="00000000" w:rsidRPr="00000000">
        <w:rPr>
          <w:rFonts w:ascii="Calibri" w:cs="Calibri" w:eastAsia="Calibri" w:hAnsi="Calibri"/>
          <w:color w:val="111111"/>
          <w:shd w:fill="fff2cc" w:val="clear"/>
          <w:rtl w:val="0"/>
        </w:rPr>
        <w:t xml:space="preserve">  </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w:t>
      </w:r>
      <w:r w:rsidDel="00000000" w:rsidR="00000000" w:rsidRPr="00000000">
        <w:rPr>
          <w:rFonts w:ascii="Calibri" w:cs="Calibri" w:eastAsia="Calibri" w:hAnsi="Calibri"/>
          <w:color w:val="111111"/>
          <w:rtl w:val="0"/>
        </w:rPr>
        <w:t xml:space="preserve"> The Pittsburgh Music Ecosystem Study indicates that </w:t>
      </w:r>
      <w:r w:rsidDel="00000000" w:rsidR="00000000" w:rsidRPr="00000000">
        <w:rPr>
          <w:rFonts w:ascii="Calibri" w:cs="Calibri" w:eastAsia="Calibri" w:hAnsi="Calibri"/>
          <w:color w:val="111111"/>
          <w:highlight w:val="yellow"/>
          <w:rtl w:val="0"/>
        </w:rPr>
        <w:t xml:space="preserve">[56%]</w:t>
      </w:r>
      <w:r w:rsidDel="00000000" w:rsidR="00000000" w:rsidRPr="00000000">
        <w:rPr>
          <w:rFonts w:ascii="Calibri" w:cs="Calibri" w:eastAsia="Calibri" w:hAnsi="Calibri"/>
          <w:color w:val="111111"/>
          <w:rtl w:val="0"/>
        </w:rPr>
        <w:t xml:space="preserve"> of creatives in Pittsburgh hold at least a bachelor's degree, and most of them desire for Pittsburgh to have as many music academies, like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to choose from. There is a steady demand for quality local music in the city. To meet that demand, PPMA is more than ready to assist and guide amateur and professional musicians and songwriters in the community.</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will tap the following market segments:</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865914" cy="2838450"/>
            <wp:effectExtent b="0" l="0" r="0" t="0"/>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865914"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tbl>
      <w:tblPr>
        <w:tblStyle w:val="Table5"/>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15"/>
        <w:gridCol w:w="1965"/>
        <w:gridCol w:w="1965"/>
        <w:gridCol w:w="1965"/>
        <w:gridCol w:w="1590"/>
        <w:tblGridChange w:id="0">
          <w:tblGrid>
            <w:gridCol w:w="1515"/>
            <w:gridCol w:w="1965"/>
            <w:gridCol w:w="1965"/>
            <w:gridCol w:w="1965"/>
            <w:gridCol w:w="1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400" w:hRule="atLeast"/>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Pittsburgh Professional Music Academy</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Team comprises of experienced professionals in the music industry</w:t>
            </w:r>
          </w:p>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Curriculum is based on current music industry standards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establishment; needs rigorous networking</w:t>
            </w:r>
          </w:p>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Government accreditation as a formal music academy may attract more students </w:t>
            </w:r>
          </w:p>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 is initially dubious on paying for music education</w:t>
            </w:r>
          </w:p>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tutorials and courses are easier to avail than going to an actual school</w:t>
            </w:r>
          </w:p>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tl w:val="0"/>
              </w:rPr>
            </w:r>
          </w:p>
        </w:tc>
      </w:tr>
      <w:tr>
        <w:trPr>
          <w:trHeight w:val="1400" w:hRule="atLeast"/>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City Music Center (CMC) of Duquesne University</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Well-structured and time-tested music school programs</w:t>
            </w:r>
          </w:p>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comprehensive lesson packages</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Music technology program is not updated to meet current industry standards </w:t>
            </w:r>
          </w:p>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theoretical approach, less practical teaching, and more focused on classical and jazz music</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of classical and jazz music schools within Pennsylvania will need more certified professionals which the CMC can easily provide</w:t>
            </w:r>
          </w:p>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Several local foundations are willing to partner with CMC for musicianship programs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Decrease of interest in classical and jazz music among CMC's target market </w:t>
            </w:r>
          </w:p>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tl w:val="0"/>
              </w:rPr>
            </w:r>
          </w:p>
        </w:tc>
      </w:tr>
      <w:tr>
        <w:trPr>
          <w:trHeight w:val="1400" w:hRule="atLeast"/>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Sunburst School of Music</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Huge client base</w:t>
            </w:r>
          </w:p>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Focused on kids and teenagers</w:t>
            </w:r>
          </w:p>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DJ and music production courses are for beginners only</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Adult hobbyists with no plans to pursue a career in music will prefer schooling that is not too rigorous and serious</w:t>
            </w:r>
          </w:p>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 population growth in Pittsburgh may affect business in the long run</w:t>
            </w:r>
          </w:p>
        </w:tc>
      </w:tr>
    </w:tbl>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Considering that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s target clients are mostly musicians and songwriters from ages 13 to 35, its marketing strategies revolve around online marketing and word-of-mouth advertising.</w:t>
      </w:r>
    </w:p>
    <w:p w:rsidR="00000000" w:rsidDel="00000000" w:rsidP="00000000" w:rsidRDefault="00000000" w:rsidRPr="00000000" w14:paraId="00000151">
      <w:pPr>
        <w:ind w:left="720"/>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85"/>
        <w:gridCol w:w="2325"/>
        <w:gridCol w:w="2325"/>
        <w:gridCol w:w="1965"/>
        <w:tblGridChange w:id="0">
          <w:tblGrid>
            <w:gridCol w:w="2385"/>
            <w:gridCol w:w="2325"/>
            <w:gridCol w:w="2325"/>
            <w:gridCol w:w="19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and develop website</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Last week of October to January 2019</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runs smoothly upon beta test 2 weeks before launch date</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up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to 17, 2019</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1000 likes within first 2 months of activation, with 30 to 40% interaction rate</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ad</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Attend local gigs, shows, festivals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Every month from November until business operations commence</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On-site inquiries by at least 15 people from any target market segment</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Invite interested folks to a tour around the academy</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2-3 weeks before the academy opens for business in April 2019</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a total of 100 people turn up for the tour (in separate batches)</w:t>
            </w:r>
          </w:p>
        </w:tc>
      </w:tr>
    </w:tbl>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69">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962525" cy="2266950"/>
                <wp:effectExtent b="0" l="0" r="0" t="0"/>
                <wp:docPr id="2" name=""/>
                <a:graphic>
                  <a:graphicData uri="http://schemas.microsoft.com/office/word/2010/wordprocessingGroup">
                    <wpg:wgp>
                      <wpg:cNvGrpSpPr/>
                      <wpg:grpSpPr>
                        <a:xfrm>
                          <a:off x="2864738" y="2646525"/>
                          <a:ext cx="4962525" cy="2266950"/>
                          <a:chOff x="2864738" y="2646525"/>
                          <a:chExt cx="4962525" cy="2266950"/>
                        </a:xfrm>
                      </wpg:grpSpPr>
                      <wpg:grpSp>
                        <wpg:cNvGrpSpPr/>
                        <wpg:grpSpPr>
                          <a:xfrm>
                            <a:off x="2864738" y="2646525"/>
                            <a:ext cx="4962525" cy="2266950"/>
                            <a:chOff x="723900" y="485775"/>
                            <a:chExt cx="4943400" cy="2247825"/>
                          </a:xfrm>
                        </wpg:grpSpPr>
                        <wps:wsp>
                          <wps:cNvSpPr/>
                          <wps:cNvPr id="4" name="Shape 4"/>
                          <wps:spPr>
                            <a:xfrm>
                              <a:off x="723900" y="485775"/>
                              <a:ext cx="4943400" cy="224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476500" y="485775"/>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CHIEF OPERATIONS OFFICER</w:t>
                                </w:r>
                              </w:p>
                            </w:txbxContent>
                          </wps:txbx>
                          <wps:bodyPr anchorCtr="0" anchor="ctr" bIns="91425" lIns="91425" spcFirstLastPara="1" rIns="91425" wrap="square" tIns="91425">
                            <a:noAutofit/>
                          </wps:bodyPr>
                        </wps:wsp>
                        <wps:wsp>
                          <wps:cNvSpPr/>
                          <wps:cNvPr id="6" name="Shape 6"/>
                          <wps:spPr>
                            <a:xfrm>
                              <a:off x="723900" y="1285875"/>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HR &amp; ADMIN MANAGER</w:t>
                                </w:r>
                              </w:p>
                            </w:txbxContent>
                          </wps:txbx>
                          <wps:bodyPr anchorCtr="0" anchor="ctr" bIns="91425" lIns="91425" spcFirstLastPara="1" rIns="91425" wrap="square" tIns="91425">
                            <a:noAutofit/>
                          </wps:bodyPr>
                        </wps:wsp>
                        <wps:wsp>
                          <wps:cNvSpPr/>
                          <wps:cNvPr id="7" name="Shape 7"/>
                          <wps:spPr>
                            <a:xfrm>
                              <a:off x="4229100" y="1285875"/>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FINANCE MANAGER</w:t>
                                </w:r>
                              </w:p>
                            </w:txbxContent>
                          </wps:txbx>
                          <wps:bodyPr anchorCtr="0" anchor="ctr" bIns="91425" lIns="91425" spcFirstLastPara="1" rIns="91425" wrap="square" tIns="91425">
                            <a:noAutofit/>
                          </wps:bodyPr>
                        </wps:wsp>
                        <wps:wsp>
                          <wps:cNvSpPr/>
                          <wps:cNvPr id="8" name="Shape 8"/>
                          <wps:spPr>
                            <a:xfrm>
                              <a:off x="2476500" y="1285875"/>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MARKETING &amp; SALES DIRECTOR</w:t>
                                </w:r>
                              </w:p>
                            </w:txbxContent>
                          </wps:txbx>
                          <wps:bodyPr anchorCtr="0" anchor="ctr" bIns="91425" lIns="91425" spcFirstLastPara="1" rIns="91425" wrap="square" tIns="91425">
                            <a:noAutofit/>
                          </wps:bodyPr>
                        </wps:wsp>
                        <wps:wsp>
                          <wps:cNvCnPr/>
                          <wps:spPr>
                            <a:xfrm flipH="1">
                              <a:off x="1443000" y="895275"/>
                              <a:ext cx="1752600" cy="390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95600" y="895275"/>
                              <a:ext cx="0" cy="390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95600" y="895275"/>
                              <a:ext cx="1752600" cy="390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600200" y="2324100"/>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ASSISTANT STAFF 1</w:t>
                                </w:r>
                              </w:p>
                            </w:txbxContent>
                          </wps:txbx>
                          <wps:bodyPr anchorCtr="0" anchor="ctr" bIns="91425" lIns="91425" spcFirstLastPara="1" rIns="91425" wrap="square" tIns="91425">
                            <a:noAutofit/>
                          </wps:bodyPr>
                        </wps:wsp>
                        <wps:wsp>
                          <wps:cNvCnPr/>
                          <wps:spPr>
                            <a:xfrm rot="10800000">
                              <a:off x="1443000" y="1695300"/>
                              <a:ext cx="876300" cy="628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2319300" y="1695300"/>
                              <a:ext cx="876300" cy="628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648075" y="2324100"/>
                              <a:ext cx="1438200" cy="40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ASSISTANT STAFF 2</w:t>
                                </w:r>
                              </w:p>
                            </w:txbxContent>
                          </wps:txbx>
                          <wps:bodyPr anchorCtr="0" anchor="ctr" bIns="91425" lIns="91425" spcFirstLastPara="1" rIns="91425" wrap="square" tIns="91425">
                            <a:noAutofit/>
                          </wps:bodyPr>
                        </wps:wsp>
                        <wps:wsp>
                          <wps:cNvCnPr/>
                          <wps:spPr>
                            <a:xfrm flipH="1" rot="10800000">
                              <a:off x="4367175" y="1695300"/>
                              <a:ext cx="581100" cy="628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195600" y="895275"/>
                              <a:ext cx="1171500" cy="1428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962525" cy="2266950"/>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962525" cy="2266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6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The academy will be built around the existing recording studio under the leasehold of Taylor Klein. The studio complex is located at Jacobs Street, just a few blocks from downtown Pittsburgh. The recording studio will be used as the practical teaching area for the audio engineering and post production courses. The first floor will have the reception area and classrooms for music theory lessons. The second floor will have soundproof rooms for the instrument playing and songwriting classes. </w:t>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Tools and Equipment: </w:t>
      </w:r>
      <w:r w:rsidDel="00000000" w:rsidR="00000000" w:rsidRPr="00000000">
        <w:rPr>
          <w:rtl w:val="0"/>
        </w:rPr>
      </w:r>
    </w:p>
    <w:p w:rsidR="00000000" w:rsidDel="00000000" w:rsidP="00000000" w:rsidRDefault="00000000" w:rsidRPr="00000000" w14:paraId="00000173">
      <w:pPr>
        <w:ind w:left="720"/>
        <w:jc w:val="both"/>
        <w:rPr>
          <w:rFonts w:ascii="Calibri" w:cs="Calibri" w:eastAsia="Calibri" w:hAnsi="Calibri"/>
          <w:color w:val="111111"/>
        </w:rPr>
      </w:pPr>
      <w:r w:rsidDel="00000000" w:rsidR="00000000" w:rsidRPr="00000000">
        <w:rPr>
          <w:rtl w:val="0"/>
        </w:rPr>
      </w:r>
    </w:p>
    <w:tbl>
      <w:tblPr>
        <w:tblStyle w:val="Table7"/>
        <w:tblW w:w="902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330"/>
        <w:tblGridChange w:id="0">
          <w:tblGrid>
            <w:gridCol w:w="4695"/>
            <w:gridCol w:w="43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Avid Pro Tools music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Office 360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Dell Inspiron 15 7000 desktop PC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highlight w:val="white"/>
                <w:rtl w:val="0"/>
              </w:rPr>
              <w:t xml:space="preserve">Presonus Eris E4.5 2-Way monitor speakers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bl>
    <w:p w:rsidR="00000000" w:rsidDel="00000000" w:rsidP="00000000" w:rsidRDefault="00000000" w:rsidRPr="00000000" w14:paraId="0000018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will hire a professional IT support and maintenance service provider to manage all of the IT-related aspects of the business, including systems monitoring, data and information storage and backup, network security, hardware and software support, web development, and mobile device management.</w:t>
      </w:r>
    </w:p>
    <w:p w:rsidR="00000000" w:rsidDel="00000000" w:rsidP="00000000" w:rsidRDefault="00000000" w:rsidRPr="00000000" w14:paraId="00000182">
      <w:pPr>
        <w:ind w:left="720"/>
        <w:jc w:val="both"/>
        <w:rPr>
          <w:rFonts w:ascii="Calibri" w:cs="Calibri" w:eastAsia="Calibri" w:hAnsi="Calibri"/>
          <w:b w:val="1"/>
          <w:color w:val="111111"/>
        </w:rPr>
      </w:pPr>
      <w:r w:rsidDel="00000000" w:rsidR="00000000" w:rsidRPr="00000000">
        <w:rPr>
          <w:rtl w:val="0"/>
        </w:rPr>
      </w:r>
    </w:p>
    <w:tbl>
      <w:tblPr>
        <w:tblStyle w:val="Table8"/>
        <w:tblW w:w="916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55"/>
        <w:gridCol w:w="3055"/>
        <w:gridCol w:w="3055"/>
        <w:tblGridChange w:id="0">
          <w:tblGrid>
            <w:gridCol w:w="3055"/>
            <w:gridCol w:w="3055"/>
            <w:gridCol w:w="30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Wireless 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Covers all areas in the studio complex</w:t>
            </w:r>
          </w:p>
          <w:p w:rsidR="00000000" w:rsidDel="00000000" w:rsidP="00000000" w:rsidRDefault="00000000" w:rsidRPr="00000000" w14:paraId="000001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Roaming-enabled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Data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data storage capacities</w:t>
            </w:r>
          </w:p>
          <w:p w:rsidR="00000000" w:rsidDel="00000000" w:rsidP="00000000" w:rsidRDefault="00000000" w:rsidRPr="00000000" w14:paraId="0000018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Must be expanded once operations commence, esp. for music production courses that require memory storage for large-sized audio project files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9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under development</w:t>
            </w:r>
          </w:p>
          <w:p w:rsidR="00000000" w:rsidDel="00000000" w:rsidP="00000000" w:rsidRDefault="00000000" w:rsidRPr="00000000" w14:paraId="0000019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39"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Interface needs to be more user-friendly</w:t>
            </w:r>
          </w:p>
        </w:tc>
      </w:tr>
    </w:tbl>
    <w:p w:rsidR="00000000" w:rsidDel="00000000" w:rsidP="00000000" w:rsidRDefault="00000000" w:rsidRPr="00000000" w14:paraId="0000019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PLAN</w:t>
      </w:r>
    </w:p>
    <w:p w:rsidR="00000000" w:rsidDel="00000000" w:rsidP="00000000" w:rsidRDefault="00000000" w:rsidRPr="00000000" w14:paraId="000001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w:t>
        <w:tab/>
      </w:r>
      <w:r w:rsidDel="00000000" w:rsidR="00000000" w:rsidRPr="00000000">
        <w:rPr>
          <w:rFonts w:ascii="Calibri" w:cs="Calibri" w:eastAsia="Calibri" w:hAnsi="Calibri"/>
          <w:color w:val="111111"/>
          <w:rtl w:val="0"/>
        </w:rPr>
        <w:t xml:space="preserve">The financial plan for </w:t>
      </w:r>
      <w:r w:rsidDel="00000000" w:rsidR="00000000" w:rsidRPr="00000000">
        <w:rPr>
          <w:rFonts w:ascii="Calibri" w:cs="Calibri" w:eastAsia="Calibri" w:hAnsi="Calibri"/>
          <w:color w:val="111111"/>
          <w:highlight w:val="yellow"/>
          <w:rtl w:val="0"/>
        </w:rPr>
        <w:t xml:space="preserve">[PPMA]</w:t>
      </w:r>
      <w:r w:rsidDel="00000000" w:rsidR="00000000" w:rsidRPr="00000000">
        <w:rPr>
          <w:rFonts w:ascii="Calibri" w:cs="Calibri" w:eastAsia="Calibri" w:hAnsi="Calibri"/>
          <w:color w:val="111111"/>
          <w:rtl w:val="0"/>
        </w:rPr>
        <w:t xml:space="preserve"> is based on the following assumptions:</w:t>
      </w:r>
    </w:p>
    <w:p w:rsidR="00000000" w:rsidDel="00000000" w:rsidP="00000000" w:rsidRDefault="00000000" w:rsidRPr="00000000" w14:paraId="00000195">
      <w:pPr>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9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No significant increase in monthly expenses until Q3 of FY1. </w:t>
      </w:r>
    </w:p>
    <w:p w:rsidR="00000000" w:rsidDel="00000000" w:rsidP="00000000" w:rsidRDefault="00000000" w:rsidRPr="00000000" w14:paraId="0000019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 Average number of enrollees for Q1 to Q2 of FY1:</w:t>
      </w:r>
    </w:p>
    <w:p w:rsidR="00000000" w:rsidDel="00000000" w:rsidP="00000000" w:rsidRDefault="00000000" w:rsidRPr="00000000" w14:paraId="00000199">
      <w:pPr>
        <w:jc w:val="both"/>
        <w:rPr>
          <w:rFonts w:ascii="Calibri" w:cs="Calibri" w:eastAsia="Calibri" w:hAnsi="Calibri"/>
          <w:color w:val="111111"/>
        </w:rPr>
      </w:pPr>
      <w:r w:rsidDel="00000000" w:rsidR="00000000" w:rsidRPr="00000000">
        <w:rPr>
          <w:rtl w:val="0"/>
        </w:rPr>
      </w:r>
    </w:p>
    <w:tbl>
      <w:tblPr>
        <w:tblStyle w:val="Table9"/>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Course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Number of Enrollees</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session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quarter</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Individual Courses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Instruments + Basic Audio Recording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Songwriting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Professional Music Production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Course Packages (All payable in installments.)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Instruments, Recording, Songwriting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Songwriting and Music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bl>
    <w:p w:rsidR="00000000" w:rsidDel="00000000" w:rsidP="00000000" w:rsidRDefault="00000000" w:rsidRPr="00000000" w14:paraId="000001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 20% increase of total enrollees per quarter beginning of Q3 of FY1 indicating at least 10% monthly sales growth rate.</w:t>
      </w:r>
    </w:p>
    <w:p w:rsidR="00000000" w:rsidDel="00000000" w:rsidP="00000000" w:rsidRDefault="00000000" w:rsidRPr="00000000" w14:paraId="000001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Monthly expenses in the first quarter will be higher compared to the second quarter. An increase in expenses is expected by the third quarter as the number of total enrollees is also expected to increase by then. </w:t>
      </w:r>
    </w:p>
    <w:p w:rsidR="00000000" w:rsidDel="00000000" w:rsidP="00000000" w:rsidRDefault="00000000" w:rsidRPr="00000000" w14:paraId="000001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Each  of the four partners will contribute </w:t>
      </w:r>
      <w:r w:rsidDel="00000000" w:rsidR="00000000" w:rsidRPr="00000000">
        <w:rPr>
          <w:rFonts w:ascii="Calibri" w:cs="Calibri" w:eastAsia="Calibri" w:hAnsi="Calibri"/>
          <w:color w:val="111111"/>
          <w:highlight w:val="yellow"/>
          <w:rtl w:val="0"/>
        </w:rPr>
        <w:t xml:space="preserve">[$50,000.00]</w:t>
      </w:r>
      <w:r w:rsidDel="00000000" w:rsidR="00000000" w:rsidRPr="00000000">
        <w:rPr>
          <w:rFonts w:ascii="Calibri" w:cs="Calibri" w:eastAsia="Calibri" w:hAnsi="Calibri"/>
          <w:color w:val="111111"/>
          <w:rtl w:val="0"/>
        </w:rPr>
        <w:t xml:space="preserve"> for the initial capital. To cover for remaining start-up and operational expenses, the LLP will acquire a </w:t>
      </w:r>
      <w:r w:rsidDel="00000000" w:rsidR="00000000" w:rsidRPr="00000000">
        <w:rPr>
          <w:rFonts w:ascii="Calibri" w:cs="Calibri" w:eastAsia="Calibri" w:hAnsi="Calibri"/>
          <w:color w:val="111111"/>
          <w:highlight w:val="yellow"/>
          <w:rtl w:val="0"/>
        </w:rPr>
        <w:t xml:space="preserve">[$50,000.00]</w:t>
      </w:r>
      <w:r w:rsidDel="00000000" w:rsidR="00000000" w:rsidRPr="00000000">
        <w:rPr>
          <w:rFonts w:ascii="Calibri" w:cs="Calibri" w:eastAsia="Calibri" w:hAnsi="Calibri"/>
          <w:color w:val="111111"/>
          <w:rtl w:val="0"/>
        </w:rPr>
        <w:t xml:space="preserve"> business loan which will be payable in </w:t>
      </w:r>
      <w:r w:rsidDel="00000000" w:rsidR="00000000" w:rsidRPr="00000000">
        <w:rPr>
          <w:rFonts w:ascii="Calibri" w:cs="Calibri" w:eastAsia="Calibri" w:hAnsi="Calibri"/>
          <w:color w:val="111111"/>
          <w:highlight w:val="yellow"/>
          <w:rtl w:val="0"/>
        </w:rPr>
        <w:t xml:space="preserve">[5 years]</w:t>
      </w:r>
      <w:r w:rsidDel="00000000" w:rsidR="00000000" w:rsidRPr="00000000">
        <w:rPr>
          <w:rFonts w:ascii="Calibri" w:cs="Calibri" w:eastAsia="Calibri" w:hAnsi="Calibri"/>
          <w:color w:val="111111"/>
          <w:rtl w:val="0"/>
        </w:rPr>
        <w:t xml:space="preserve"> with an interest rate of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per annum. </w:t>
      </w:r>
    </w:p>
    <w:p w:rsidR="00000000" w:rsidDel="00000000" w:rsidP="00000000" w:rsidRDefault="00000000" w:rsidRPr="00000000" w14:paraId="000001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Statements:</w:t>
      </w:r>
    </w:p>
    <w:p w:rsidR="00000000" w:rsidDel="00000000" w:rsidP="00000000" w:rsidRDefault="00000000" w:rsidRPr="00000000" w14:paraId="000001D4">
      <w:pPr>
        <w:jc w:val="both"/>
        <w:rPr>
          <w:rFonts w:ascii="Calibri" w:cs="Calibri" w:eastAsia="Calibri" w:hAnsi="Calibri"/>
          <w:b w:val="1"/>
          <w:color w:val="111111"/>
        </w:rPr>
      </w:pPr>
      <w:r w:rsidDel="00000000" w:rsidR="00000000" w:rsidRPr="00000000">
        <w:rPr>
          <w:rtl w:val="0"/>
        </w:rPr>
      </w:r>
    </w:p>
    <w:tbl>
      <w:tblPr>
        <w:tblStyle w:val="Table10"/>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40"/>
        <w:gridCol w:w="1535"/>
        <w:gridCol w:w="1375"/>
        <w:gridCol w:w="1350"/>
        <w:tblGridChange w:id="0">
          <w:tblGrid>
            <w:gridCol w:w="4740"/>
            <w:gridCol w:w="1535"/>
            <w:gridCol w:w="1375"/>
            <w:gridCol w:w="135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$132,489.00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$162,045.00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$178,546.35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$22,745.00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$37,745.00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$22,745.00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$37,745.00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$109,744.00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$140,801.35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82.83%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81.03%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78.86%</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Tools, Equipment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Licenses and Permits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-$82,255.00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-$74,255.00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-$67,255.00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$4,744.00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$35,801.35</w:t>
            </w:r>
            <w:r w:rsidDel="00000000" w:rsidR="00000000" w:rsidRPr="00000000">
              <w:rPr>
                <w:rtl w:val="0"/>
              </w:rPr>
            </w:r>
          </w:p>
        </w:tc>
      </w:tr>
    </w:tbl>
    <w:p w:rsidR="00000000" w:rsidDel="00000000" w:rsidP="00000000" w:rsidRDefault="00000000" w:rsidRPr="00000000" w14:paraId="0000022D">
      <w:pPr>
        <w:jc w:val="both"/>
        <w:rPr>
          <w:rFonts w:ascii="Calibri" w:cs="Calibri" w:eastAsia="Calibri" w:hAnsi="Calibri"/>
          <w:b w:val="1"/>
          <w:color w:val="111111"/>
        </w:rPr>
      </w:pPr>
      <w:r w:rsidDel="00000000" w:rsidR="00000000" w:rsidRPr="00000000">
        <w:rPr>
          <w:rtl w:val="0"/>
        </w:rPr>
      </w:r>
    </w:p>
    <w:tbl>
      <w:tblPr>
        <w:tblStyle w:val="Table1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40"/>
        <w:gridCol w:w="1535"/>
        <w:gridCol w:w="1375"/>
        <w:gridCol w:w="1350"/>
        <w:tblGridChange w:id="0">
          <w:tblGrid>
            <w:gridCol w:w="4740"/>
            <w:gridCol w:w="1535"/>
            <w:gridCol w:w="1375"/>
            <w:gridCol w:w="135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$10,120.00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$119,880.00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$113,880.00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$148,880.00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6.80%</w:t>
            </w:r>
            <w:r w:rsidDel="00000000" w:rsidR="00000000" w:rsidRPr="00000000">
              <w:rPr>
                <w:rtl w:val="0"/>
              </w:rPr>
            </w:r>
          </w:p>
        </w:tc>
      </w:tr>
    </w:tbl>
    <w:p w:rsidR="00000000" w:rsidDel="00000000" w:rsidP="00000000" w:rsidRDefault="00000000" w:rsidRPr="00000000" w14:paraId="00000286">
      <w:pPr>
        <w:jc w:val="both"/>
        <w:rPr>
          <w:rFonts w:ascii="Calibri" w:cs="Calibri" w:eastAsia="Calibri" w:hAnsi="Calibri"/>
          <w:b w:val="1"/>
          <w:color w:val="111111"/>
        </w:rPr>
      </w:pPr>
      <w:r w:rsidDel="00000000" w:rsidR="00000000" w:rsidRPr="00000000">
        <w:rPr>
          <w:rtl w:val="0"/>
        </w:rPr>
      </w:r>
    </w:p>
    <w:tbl>
      <w:tblPr>
        <w:tblStyle w:val="Table12"/>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25"/>
        <w:gridCol w:w="1500"/>
        <w:gridCol w:w="1500"/>
        <w:gridCol w:w="1275"/>
        <w:tblGridChange w:id="0">
          <w:tblGrid>
            <w:gridCol w:w="4725"/>
            <w:gridCol w:w="1500"/>
            <w:gridCol w:w="1500"/>
            <w:gridCol w:w="1275"/>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$109,744.00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$204,244.00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$262,300.00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Tools, Equipment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Licenses and Permits</w:t>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2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$99,244.00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$180,800.00</w:t>
            </w:r>
            <w:r w:rsidDel="00000000" w:rsidR="00000000" w:rsidRPr="00000000">
              <w:rPr>
                <w:rtl w:val="0"/>
              </w:rPr>
            </w:r>
          </w:p>
        </w:tc>
      </w:tr>
    </w:tbl>
    <w:p w:rsidR="00000000" w:rsidDel="00000000" w:rsidP="00000000" w:rsidRDefault="00000000" w:rsidRPr="00000000" w14:paraId="000002CF">
      <w:pPr>
        <w:rPr>
          <w:sz w:val="24"/>
          <w:szCs w:val="24"/>
        </w:rPr>
      </w:pPr>
      <w:r w:rsidDel="00000000" w:rsidR="00000000" w:rsidRPr="00000000">
        <w:rPr>
          <w:rtl w:val="0"/>
        </w:rPr>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jc w:val="both"/>
        <w:rPr>
          <w:rFonts w:ascii="Calibri" w:cs="Calibri" w:eastAsia="Calibri" w:hAnsi="Calibri"/>
          <w:b w:val="1"/>
          <w:color w:val="111111"/>
        </w:rPr>
      </w:pPr>
      <w:r w:rsidDel="00000000" w:rsidR="00000000" w:rsidRPr="00000000">
        <w:rPr>
          <w:rtl w:val="0"/>
        </w:rPr>
      </w:r>
    </w:p>
    <w:sectPr>
      <w:footerReference r:id="rId13"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381000</wp:posOffset>
              </wp:positionV>
              <wp:extent cx="4869815" cy="265875"/>
              <wp:effectExtent b="0" l="0" r="0" t="0"/>
              <wp:wrapNone/>
              <wp:docPr id="3" name=""/>
              <a:graphic>
                <a:graphicData uri="http://schemas.microsoft.com/office/word/2010/wordprocessingShape">
                  <wps:wsp>
                    <wps:cNvSpPr/>
                    <wps:cNvPr id="18" name="Shape 18"/>
                    <wps:spPr>
                      <a:xfrm>
                        <a:off x="2915855" y="3651825"/>
                        <a:ext cx="4860290" cy="256350"/>
                      </a:xfrm>
                      <a:prstGeom prst="rect">
                        <a:avLst/>
                      </a:prstGeom>
                      <a:solidFill>
                        <a:srgbClr val="95B3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381000</wp:posOffset>
              </wp:positionV>
              <wp:extent cx="4869815" cy="2658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869815" cy="2658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